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CEE" w:rsidRDefault="00DD3CEE" w:rsidP="00DD3CEE"/>
    <w:p w:rsidR="00A02915" w:rsidRDefault="00A02915" w:rsidP="00DD3CEE">
      <w:hyperlink r:id="rId6" w:history="1">
        <w:r w:rsidRPr="0094122A">
          <w:rPr>
            <w:rStyle w:val="Kpr"/>
          </w:rPr>
          <w:t>www.royalcert.com</w:t>
        </w:r>
      </w:hyperlink>
      <w:r>
        <w:t xml:space="preserve"> </w:t>
      </w:r>
      <w:r w:rsidR="00DD3CEE">
        <w:t xml:space="preserve"> </w:t>
      </w:r>
      <w:r>
        <w:t xml:space="preserve">internet sitesi </w:t>
      </w:r>
      <w:r w:rsidR="00DD3CEE">
        <w:t>ziyaretçilerimizin mahremiyetinin son derece önemli olduğunu düşünüyoruz.</w:t>
      </w:r>
    </w:p>
    <w:p w:rsidR="00DD3CEE" w:rsidRDefault="00DD3CEE" w:rsidP="00DD3CEE">
      <w:r>
        <w:t>Bu gizlilik politikası belgesi, R</w:t>
      </w:r>
      <w:r w:rsidR="00A02915">
        <w:t xml:space="preserve">OYALCERT BELGELENDİRME ve GÖZETİM HİZ. A.Ş. </w:t>
      </w:r>
      <w:r>
        <w:t xml:space="preserve"> tarafından toplanan ve kaydedilen kişisel bilgilerin türlerini ve bunları nasıl kullandığımızı ayrıntılı olarak açıklar.</w:t>
      </w:r>
    </w:p>
    <w:p w:rsidR="00DD3CEE" w:rsidRDefault="00DD3CEE" w:rsidP="00DD3CEE"/>
    <w:p w:rsidR="007E0FB8" w:rsidRPr="00A02915" w:rsidRDefault="007E0FB8" w:rsidP="007E0FB8">
      <w:pPr>
        <w:rPr>
          <w:b/>
        </w:rPr>
      </w:pPr>
      <w:r w:rsidRPr="00A02915">
        <w:rPr>
          <w:b/>
        </w:rPr>
        <w:t xml:space="preserve"> Kişisel verilerinizi nasıl topluyoruz?</w:t>
      </w:r>
    </w:p>
    <w:p w:rsidR="007E0FB8" w:rsidRDefault="007E0FB8" w:rsidP="007E0FB8">
      <w:r>
        <w:t>Aşağıdaki kişisel bilgi türleri toplanabilir, saklanabilir ve kullanılabilir:</w:t>
      </w:r>
    </w:p>
    <w:p w:rsidR="007E0FB8" w:rsidRDefault="007E0FB8" w:rsidP="007E0FB8">
      <w:r>
        <w:t>1. IP adresiniz de dahil olmak üzere bilgisayarınız hakkında bilgiler, coğrafi konum, tarayıcı türü ve sürümü ve işletim sistemi</w:t>
      </w:r>
    </w:p>
    <w:p w:rsidR="007E0FB8" w:rsidRDefault="007E0FB8" w:rsidP="007E0FB8">
      <w:r>
        <w:t>2. Aşağıdakiler de dahil olmak üzere bu web sitesini ziyaret ettiğiniz ve kullandığınız hakkında bilgi:</w:t>
      </w:r>
      <w:r w:rsidR="00770079">
        <w:t xml:space="preserve"> </w:t>
      </w:r>
      <w:r>
        <w:t>tavsiye kaynağı, ziyaret süresi, sayfa görünümleri ve web sitesi gezinme yolları.</w:t>
      </w:r>
    </w:p>
    <w:p w:rsidR="007E0FB8" w:rsidRDefault="007E0FB8" w:rsidP="007E0FB8">
      <w:r>
        <w:t>3. Web sitemizde form oluştururken girdiğiniz bilgiler, örneğin</w:t>
      </w:r>
      <w:r w:rsidR="00770079">
        <w:t xml:space="preserve"> </w:t>
      </w:r>
      <w:r>
        <w:t xml:space="preserve">e-posta adresiniz, telefon numaranız ve adresiniz, </w:t>
      </w:r>
    </w:p>
    <w:p w:rsidR="007E0FB8" w:rsidRDefault="007E0FB8" w:rsidP="007E0FB8">
      <w:r>
        <w:t>4. Web sitemizi kullanırken oluşturulan ve aşağıdakileri içeren bilgiler,</w:t>
      </w:r>
      <w:r w:rsidR="00770079">
        <w:t xml:space="preserve"> </w:t>
      </w:r>
      <w:r>
        <w:t>ne sıklıkta ve hangi şartlar altında kullanıyorsanız.</w:t>
      </w:r>
    </w:p>
    <w:p w:rsidR="007E0FB8" w:rsidRDefault="007E0FB8" w:rsidP="007E0FB8">
      <w:r>
        <w:t>5. Web sitemize yayınlamak amacıyla yayınladığınız bilgiler</w:t>
      </w:r>
    </w:p>
    <w:p w:rsidR="007E0FB8" w:rsidRDefault="007E0FB8" w:rsidP="007E0FB8">
      <w:r>
        <w:t>6. Bize gönderdiğiniz diğer kişisel bilgiler.</w:t>
      </w:r>
    </w:p>
    <w:p w:rsidR="00DD3CEE" w:rsidRDefault="00DD3CEE" w:rsidP="00DD3CEE">
      <w:r>
        <w:t xml:space="preserve">Diğer birçok Web sitesi gibi, </w:t>
      </w:r>
      <w:proofErr w:type="spellStart"/>
      <w:r>
        <w:t>Royalcert</w:t>
      </w:r>
      <w:proofErr w:type="spellEnd"/>
      <w:r>
        <w:t xml:space="preserve"> de günlük dosyalarını kullanır. Bu dosyalar yalnızca ziyaretçileri siteye kaydeder genellikle barındırma şirketleri ve barındırma hizmetlerinin analitiklerinin bir parçası için standart bir prosedürdür. Günlük dosyalarının içindeki bilgiler arasında internet protokolü (IP) adresleri, tarayıcı türü, İnternet Servis Sağlayıcısı (ISS), tarih / saat damgası, yönlendirme / çıkış sayfaları ve muhtemelen tıklama sayısı bulunur. Bu bilgiler, trendleri analiz etmek, siteyi yönetmek, kullanıcının sitedeki hareketini izlemek ve demografik bilgi toplamak için kullanılır. IP adresleri ve bu tür diğer bilgiler, kişisel olarak tanımlanabilir herhangi bi</w:t>
      </w:r>
      <w:r w:rsidR="007E0FB8">
        <w:t>r bilgiyle bağlantılı değildir.</w:t>
      </w:r>
    </w:p>
    <w:p w:rsidR="007E0FB8" w:rsidRDefault="007E0FB8" w:rsidP="00DD3CEE"/>
    <w:p w:rsidR="00DD3CEE" w:rsidRPr="00A02915" w:rsidRDefault="00DD3CEE" w:rsidP="00DD3CEE">
      <w:pPr>
        <w:rPr>
          <w:b/>
        </w:rPr>
      </w:pPr>
      <w:r w:rsidRPr="00A02915">
        <w:rPr>
          <w:b/>
        </w:rPr>
        <w:t>Çerezler ve Web İşaretleri</w:t>
      </w:r>
    </w:p>
    <w:p w:rsidR="00DD3CEE" w:rsidRDefault="00DD3CEE" w:rsidP="00DD3CEE">
      <w:proofErr w:type="spellStart"/>
      <w:r>
        <w:t>Royalcert</w:t>
      </w:r>
      <w:proofErr w:type="spellEnd"/>
      <w:r>
        <w:t xml:space="preserve">, ziyaretçilerin tercihleri ​​hakkında bilgi depolamak, site ziyaretçisinin hangi sayfalara eriştiği veya ziyaret ettiği kullanıcıya özel bilgileri kaydetmek ve web sitemizin içeriğini ziyaretçilerin tarayıcı türüne veya diğer bilgilere göre kişiselleştirmek veya özelleştirmek için çerezleri kullanır. </w:t>
      </w:r>
      <w:r w:rsidR="00770079">
        <w:t>Z</w:t>
      </w:r>
      <w:r>
        <w:t>iyaretçi tarayıcıları aracılığıyla gönderir.</w:t>
      </w:r>
    </w:p>
    <w:p w:rsidR="00DD3CEE" w:rsidRPr="00A02915" w:rsidRDefault="00DD3CEE" w:rsidP="00DD3CEE">
      <w:pPr>
        <w:rPr>
          <w:b/>
        </w:rPr>
      </w:pPr>
      <w:r w:rsidRPr="00A02915">
        <w:rPr>
          <w:b/>
        </w:rPr>
        <w:t>Üçüncü Parti Gizlilik Politikaları</w:t>
      </w:r>
    </w:p>
    <w:p w:rsidR="00DD3CEE" w:rsidRDefault="00DD3CEE" w:rsidP="00DD3CEE">
      <w:r>
        <w:t xml:space="preserve">Uygulamaları hakkında daha ayrıntılı bilgi ve belirli uygulamalardan nasıl vazgeçileceğiyle ilgili talimatlar için bu üçüncü taraf reklam sunucularının gizlilik politikalarına başvurmalısınız. </w:t>
      </w:r>
      <w:proofErr w:type="spellStart"/>
      <w:r>
        <w:t>Royalcert'in</w:t>
      </w:r>
      <w:proofErr w:type="spellEnd"/>
      <w:r>
        <w:t xml:space="preserve"> </w:t>
      </w:r>
      <w:r>
        <w:lastRenderedPageBreak/>
        <w:t>gizlilik politikası geçerli değildir ve bu tür diğer reklam</w:t>
      </w:r>
      <w:r w:rsidR="00A94CC6">
        <w:t xml:space="preserve"> </w:t>
      </w:r>
      <w:bookmarkStart w:id="0" w:name="_GoBack"/>
      <w:bookmarkEnd w:id="0"/>
      <w:r>
        <w:t xml:space="preserve">verenlerin veya web sitelerinin faaliyetlerini kontrol edemiyoruz. </w:t>
      </w:r>
    </w:p>
    <w:p w:rsidR="00B71D8B" w:rsidRPr="00A02915" w:rsidRDefault="00DD3CEE" w:rsidP="00DD3CEE">
      <w:pPr>
        <w:rPr>
          <w:color w:val="FF0000"/>
          <w:u w:val="single"/>
        </w:rPr>
      </w:pPr>
      <w:r>
        <w:t xml:space="preserve">Çerezleri devre dışı bırakmak istiyorsanız, kişisel tarayıcı seçeneklerinizle yapabilirsiniz. Belirli web tarayıcılarıyla tanımlama bilgisi yönetimi hakkında daha ayrıntılı bilgileri, tarayıcıların ilgili web sitelerinde bulabilirsiniz. </w:t>
      </w:r>
    </w:p>
    <w:p w:rsidR="00DD3CEE" w:rsidRPr="00A02915" w:rsidRDefault="00DD3CEE" w:rsidP="00DD3CEE">
      <w:pPr>
        <w:rPr>
          <w:b/>
        </w:rPr>
      </w:pPr>
      <w:r w:rsidRPr="00A02915">
        <w:rPr>
          <w:b/>
        </w:rPr>
        <w:t>Çocuk Bilgisi</w:t>
      </w:r>
    </w:p>
    <w:p w:rsidR="00DD3CEE" w:rsidRDefault="00DD3CEE" w:rsidP="00DD3CEE">
      <w:r>
        <w:t xml:space="preserve">Çevrimiçi olarak çocuklar için ek koruma sağlamanın önemli olduğuna inanıyoruz. Ebeveynleri ve velileri, çevrimiçi etkinliklerini gözlemlemek, katılmak ve / veya izlemek ve yönlendirmek için çocuklarıyla çevrimiçi olarak zaman geçirmeye teşvik ediyoruz. </w:t>
      </w:r>
      <w:proofErr w:type="spellStart"/>
      <w:r>
        <w:t>Royalcert</w:t>
      </w:r>
      <w:proofErr w:type="spellEnd"/>
      <w:r>
        <w:t xml:space="preserve">, 13 yaşın altındaki çocuklardan kişisel olarak tanımlanabilecek herhangi bir bilgiyi bilerek toplamaz. Bir ebeveyn veya veli, </w:t>
      </w:r>
      <w:proofErr w:type="spellStart"/>
      <w:r>
        <w:t>Royalcert'in</w:t>
      </w:r>
      <w:proofErr w:type="spellEnd"/>
      <w:r>
        <w:t xml:space="preserve"> veri tabanında 13 yaşın altındaki bir çocuğun kişisel olarak tanımlanabilir bilgisine sahip olduğuna inanıyorsa, lütfen derhal bizimle iletişime geçin. </w:t>
      </w:r>
      <w:r w:rsidR="00770079">
        <w:t>İ</w:t>
      </w:r>
      <w:r>
        <w:t>lk paragrafta temas</w:t>
      </w:r>
      <w:proofErr w:type="gramStart"/>
      <w:r>
        <w:t>)</w:t>
      </w:r>
      <w:proofErr w:type="gramEnd"/>
      <w:r>
        <w:t xml:space="preserve"> ve bu tür bilgileri derhal kayıtlarımızdan kaldırmak için elimizden gelen çabayı göstereceğiz.</w:t>
      </w:r>
    </w:p>
    <w:p w:rsidR="00DD3CEE" w:rsidRPr="00A02915" w:rsidRDefault="00DD3CEE" w:rsidP="00DD3CEE">
      <w:pPr>
        <w:rPr>
          <w:b/>
        </w:rPr>
      </w:pPr>
      <w:r w:rsidRPr="00A02915">
        <w:rPr>
          <w:b/>
        </w:rPr>
        <w:t>Yalnızca Çevrimiçi Gizlilik Politikası</w:t>
      </w:r>
    </w:p>
    <w:p w:rsidR="00DD3CEE" w:rsidRDefault="00DD3CEE" w:rsidP="00DD3CEE">
      <w:r>
        <w:t>Bu gizlilik politikası yalnızca çevrimiçi faaliyetlerimiz için geçerlidir ve web sitemizi ziyaret edenler ve orada paylaşılan ve / veya toplanan bilgilerle ilgili olarak geçerlidir. Bu politika çevrimdışı olarak toplanan hiçbir bilgi veya bu web sitesi dışındaki kanallar için geçerli değildir.</w:t>
      </w:r>
    </w:p>
    <w:p w:rsidR="00DD3CEE" w:rsidRPr="00A02915" w:rsidRDefault="00DD3CEE" w:rsidP="00DD3CEE">
      <w:pPr>
        <w:rPr>
          <w:b/>
        </w:rPr>
      </w:pPr>
      <w:r w:rsidRPr="00A02915">
        <w:rPr>
          <w:b/>
        </w:rPr>
        <w:t>Onay</w:t>
      </w:r>
    </w:p>
    <w:p w:rsidR="00BC0B9C" w:rsidRDefault="00DD3CEE" w:rsidP="00DD3CEE">
      <w:r>
        <w:t>Web sitemizi kullanarak, gizlilik politikamızı kabul etmiş ve şartlarını kabul etmiş olursunuz.</w:t>
      </w:r>
    </w:p>
    <w:p w:rsidR="00DD3CEE" w:rsidRDefault="00DD3CEE" w:rsidP="00DD3CEE">
      <w:r>
        <w:t xml:space="preserve">Daha fazla bilgiye ihtiyaç duyarsanız veya gizlilik politikamız hakkında herhangi bir sorunuz varsa, lütfen </w:t>
      </w:r>
      <w:r w:rsidR="00770079">
        <w:t>info@royalcert.com</w:t>
      </w:r>
      <w:r>
        <w:t xml:space="preserve"> adresinden e-posta yoluyla bizimle iletişime geç</w:t>
      </w:r>
      <w:r w:rsidR="005123E8">
        <w:t>iniz.</w:t>
      </w:r>
    </w:p>
    <w:sectPr w:rsidR="00DD3CEE" w:rsidSect="00994A9D">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9B5" w:rsidRDefault="002B19B5" w:rsidP="005123E8">
      <w:pPr>
        <w:spacing w:after="0" w:line="240" w:lineRule="auto"/>
      </w:pPr>
      <w:r>
        <w:separator/>
      </w:r>
    </w:p>
  </w:endnote>
  <w:endnote w:type="continuationSeparator" w:id="0">
    <w:p w:rsidR="002B19B5" w:rsidRDefault="002B19B5" w:rsidP="005123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9B5" w:rsidRDefault="002B19B5" w:rsidP="005123E8">
      <w:pPr>
        <w:spacing w:after="0" w:line="240" w:lineRule="auto"/>
      </w:pPr>
      <w:r>
        <w:separator/>
      </w:r>
    </w:p>
  </w:footnote>
  <w:footnote w:type="continuationSeparator" w:id="0">
    <w:p w:rsidR="002B19B5" w:rsidRDefault="002B19B5" w:rsidP="005123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4417"/>
      <w:gridCol w:w="1395"/>
      <w:gridCol w:w="1418"/>
    </w:tblGrid>
    <w:tr w:rsidR="005123E8" w:rsidRPr="000A218D" w:rsidTr="005123E8">
      <w:trPr>
        <w:trHeight w:val="284"/>
      </w:trPr>
      <w:tc>
        <w:tcPr>
          <w:tcW w:w="2694" w:type="dxa"/>
          <w:vMerge w:val="restart"/>
        </w:tcPr>
        <w:p w:rsidR="005123E8" w:rsidRPr="000A218D" w:rsidRDefault="005123E8" w:rsidP="005123E8">
          <w:pPr>
            <w:pStyle w:val="stbilgi"/>
            <w:tabs>
              <w:tab w:val="clear" w:pos="4536"/>
              <w:tab w:val="clear" w:pos="9072"/>
              <w:tab w:val="right" w:pos="2053"/>
            </w:tabs>
            <w:ind w:left="-108"/>
          </w:pPr>
          <w:r>
            <w:rPr>
              <w:rFonts w:cs="Calibri"/>
              <w:noProof/>
              <w:sz w:val="16"/>
              <w:szCs w:val="16"/>
              <w:lang w:val="en-US"/>
            </w:rPr>
            <w:tab/>
          </w:r>
          <w:r>
            <w:rPr>
              <w:rFonts w:eastAsia="Times New Roman"/>
              <w:noProof/>
              <w:lang w:eastAsia="tr-TR"/>
            </w:rPr>
            <w:drawing>
              <wp:inline distT="0" distB="0" distL="0" distR="0">
                <wp:extent cx="1629532" cy="674504"/>
                <wp:effectExtent l="19050" t="0" r="8768" b="0"/>
                <wp:docPr id="3" name="BCE4430D-D78C-44FD-AE08-B19412E14ED4" descr="cid:A0708E76-3B4A-4E9E-AC3E-6388EF3D1F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E4430D-D78C-44FD-AE08-B19412E14ED4" descr="cid:A0708E76-3B4A-4E9E-AC3E-6388EF3D1F7A"/>
                        <pic:cNvPicPr>
                          <a:picLocks noChangeAspect="1" noChangeArrowheads="1"/>
                        </pic:cNvPicPr>
                      </pic:nvPicPr>
                      <pic:blipFill>
                        <a:blip r:embed="rId1" r:link="rId2"/>
                        <a:srcRect/>
                        <a:stretch>
                          <a:fillRect/>
                        </a:stretch>
                      </pic:blipFill>
                      <pic:spPr bwMode="auto">
                        <a:xfrm>
                          <a:off x="0" y="0"/>
                          <a:ext cx="1634136" cy="676410"/>
                        </a:xfrm>
                        <a:prstGeom prst="rect">
                          <a:avLst/>
                        </a:prstGeom>
                        <a:noFill/>
                        <a:ln w="9525">
                          <a:noFill/>
                          <a:miter lim="800000"/>
                          <a:headEnd/>
                          <a:tailEnd/>
                        </a:ln>
                      </pic:spPr>
                    </pic:pic>
                  </a:graphicData>
                </a:graphic>
              </wp:inline>
            </w:drawing>
          </w:r>
        </w:p>
      </w:tc>
      <w:tc>
        <w:tcPr>
          <w:tcW w:w="4417" w:type="dxa"/>
          <w:vMerge w:val="restart"/>
          <w:vAlign w:val="center"/>
        </w:tcPr>
        <w:p w:rsidR="005123E8" w:rsidRDefault="005123E8" w:rsidP="005123E8">
          <w:pPr>
            <w:jc w:val="center"/>
            <w:rPr>
              <w:b/>
              <w:color w:val="003F5E"/>
              <w:sz w:val="32"/>
              <w:szCs w:val="32"/>
            </w:rPr>
          </w:pPr>
          <w:r>
            <w:rPr>
              <w:b/>
              <w:color w:val="003F5E"/>
              <w:sz w:val="32"/>
              <w:szCs w:val="32"/>
            </w:rPr>
            <w:t>İNTERNET SİTESİ</w:t>
          </w:r>
        </w:p>
        <w:p w:rsidR="005123E8" w:rsidRPr="005123E8" w:rsidRDefault="005123E8" w:rsidP="005123E8">
          <w:pPr>
            <w:jc w:val="center"/>
            <w:rPr>
              <w:b/>
              <w:color w:val="003F5E"/>
              <w:sz w:val="32"/>
              <w:szCs w:val="32"/>
            </w:rPr>
          </w:pPr>
          <w:r w:rsidRPr="005123E8">
            <w:rPr>
              <w:b/>
              <w:color w:val="003F5E"/>
              <w:sz w:val="32"/>
              <w:szCs w:val="32"/>
            </w:rPr>
            <w:t>GİZLİLİK ve ÇEREZ POLİTİKASI</w:t>
          </w:r>
        </w:p>
      </w:tc>
      <w:tc>
        <w:tcPr>
          <w:tcW w:w="1395" w:type="dxa"/>
          <w:vAlign w:val="center"/>
        </w:tcPr>
        <w:p w:rsidR="005123E8" w:rsidRPr="000A218D" w:rsidRDefault="005123E8" w:rsidP="000E5279">
          <w:pPr>
            <w:pStyle w:val="stbilgi"/>
            <w:rPr>
              <w:sz w:val="20"/>
              <w:szCs w:val="20"/>
            </w:rPr>
          </w:pPr>
          <w:r w:rsidRPr="000A218D">
            <w:rPr>
              <w:sz w:val="20"/>
              <w:szCs w:val="20"/>
            </w:rPr>
            <w:t>Doküman No</w:t>
          </w:r>
        </w:p>
      </w:tc>
      <w:tc>
        <w:tcPr>
          <w:tcW w:w="1418" w:type="dxa"/>
          <w:vAlign w:val="center"/>
        </w:tcPr>
        <w:p w:rsidR="005123E8" w:rsidRPr="000A218D" w:rsidRDefault="005123E8" w:rsidP="000E5279">
          <w:pPr>
            <w:pStyle w:val="stbilgi"/>
            <w:rPr>
              <w:sz w:val="20"/>
              <w:szCs w:val="20"/>
            </w:rPr>
          </w:pPr>
          <w:r>
            <w:rPr>
              <w:sz w:val="20"/>
              <w:szCs w:val="20"/>
            </w:rPr>
            <w:t>YD.</w:t>
          </w:r>
          <w:r w:rsidR="00A02915">
            <w:rPr>
              <w:sz w:val="20"/>
              <w:szCs w:val="20"/>
            </w:rPr>
            <w:t>14</w:t>
          </w:r>
        </w:p>
      </w:tc>
    </w:tr>
    <w:tr w:rsidR="005123E8" w:rsidRPr="000A218D" w:rsidTr="005123E8">
      <w:trPr>
        <w:trHeight w:val="284"/>
      </w:trPr>
      <w:tc>
        <w:tcPr>
          <w:tcW w:w="2694" w:type="dxa"/>
          <w:vMerge/>
        </w:tcPr>
        <w:p w:rsidR="005123E8" w:rsidRPr="000A218D" w:rsidRDefault="005123E8" w:rsidP="000E5279">
          <w:pPr>
            <w:pStyle w:val="stbilgi"/>
          </w:pPr>
        </w:p>
      </w:tc>
      <w:tc>
        <w:tcPr>
          <w:tcW w:w="4417" w:type="dxa"/>
          <w:vMerge/>
        </w:tcPr>
        <w:p w:rsidR="005123E8" w:rsidRPr="000A218D" w:rsidRDefault="005123E8" w:rsidP="000E5279">
          <w:pPr>
            <w:pStyle w:val="stbilgi"/>
          </w:pPr>
        </w:p>
      </w:tc>
      <w:tc>
        <w:tcPr>
          <w:tcW w:w="1395" w:type="dxa"/>
          <w:vAlign w:val="center"/>
        </w:tcPr>
        <w:p w:rsidR="005123E8" w:rsidRPr="000A218D" w:rsidRDefault="005123E8" w:rsidP="000E5279">
          <w:pPr>
            <w:pStyle w:val="stbilgi"/>
            <w:rPr>
              <w:sz w:val="20"/>
              <w:szCs w:val="20"/>
            </w:rPr>
          </w:pPr>
          <w:r w:rsidRPr="000A218D">
            <w:rPr>
              <w:sz w:val="20"/>
              <w:szCs w:val="20"/>
            </w:rPr>
            <w:t>Yayın Tarihi</w:t>
          </w:r>
        </w:p>
      </w:tc>
      <w:tc>
        <w:tcPr>
          <w:tcW w:w="1418" w:type="dxa"/>
          <w:vAlign w:val="center"/>
        </w:tcPr>
        <w:p w:rsidR="005123E8" w:rsidRPr="000A218D" w:rsidRDefault="005123E8" w:rsidP="000E5279">
          <w:pPr>
            <w:pStyle w:val="stbilgi"/>
            <w:rPr>
              <w:sz w:val="20"/>
              <w:szCs w:val="20"/>
            </w:rPr>
          </w:pPr>
          <w:r>
            <w:rPr>
              <w:sz w:val="20"/>
              <w:szCs w:val="20"/>
            </w:rPr>
            <w:t>14.03.2019</w:t>
          </w:r>
        </w:p>
      </w:tc>
    </w:tr>
    <w:tr w:rsidR="005123E8" w:rsidRPr="000A218D" w:rsidTr="005123E8">
      <w:trPr>
        <w:trHeight w:val="284"/>
      </w:trPr>
      <w:tc>
        <w:tcPr>
          <w:tcW w:w="2694" w:type="dxa"/>
          <w:vMerge/>
        </w:tcPr>
        <w:p w:rsidR="005123E8" w:rsidRPr="000A218D" w:rsidRDefault="005123E8" w:rsidP="000E5279">
          <w:pPr>
            <w:pStyle w:val="stbilgi"/>
          </w:pPr>
        </w:p>
      </w:tc>
      <w:tc>
        <w:tcPr>
          <w:tcW w:w="4417" w:type="dxa"/>
          <w:vMerge/>
        </w:tcPr>
        <w:p w:rsidR="005123E8" w:rsidRPr="000A218D" w:rsidRDefault="005123E8" w:rsidP="000E5279">
          <w:pPr>
            <w:pStyle w:val="stbilgi"/>
          </w:pPr>
        </w:p>
      </w:tc>
      <w:tc>
        <w:tcPr>
          <w:tcW w:w="1395" w:type="dxa"/>
          <w:vAlign w:val="center"/>
        </w:tcPr>
        <w:p w:rsidR="005123E8" w:rsidRPr="000A218D" w:rsidRDefault="005123E8" w:rsidP="000E5279">
          <w:pPr>
            <w:pStyle w:val="stbilgi"/>
            <w:rPr>
              <w:sz w:val="20"/>
              <w:szCs w:val="20"/>
            </w:rPr>
          </w:pPr>
          <w:proofErr w:type="spellStart"/>
          <w:proofErr w:type="gramStart"/>
          <w:r w:rsidRPr="000A218D">
            <w:rPr>
              <w:sz w:val="20"/>
              <w:szCs w:val="20"/>
            </w:rPr>
            <w:t>Rev</w:t>
          </w:r>
          <w:proofErr w:type="spellEnd"/>
          <w:r w:rsidRPr="000A218D">
            <w:rPr>
              <w:sz w:val="20"/>
              <w:szCs w:val="20"/>
            </w:rPr>
            <w:t>.No</w:t>
          </w:r>
          <w:proofErr w:type="gramEnd"/>
          <w:r w:rsidRPr="000A218D">
            <w:rPr>
              <w:sz w:val="20"/>
              <w:szCs w:val="20"/>
            </w:rPr>
            <w:t>:</w:t>
          </w:r>
        </w:p>
      </w:tc>
      <w:tc>
        <w:tcPr>
          <w:tcW w:w="1418" w:type="dxa"/>
          <w:vAlign w:val="center"/>
        </w:tcPr>
        <w:p w:rsidR="005123E8" w:rsidRPr="000A218D" w:rsidRDefault="005123E8" w:rsidP="000E5279">
          <w:pPr>
            <w:pStyle w:val="stbilgi"/>
            <w:rPr>
              <w:sz w:val="20"/>
              <w:szCs w:val="20"/>
            </w:rPr>
          </w:pPr>
          <w:r>
            <w:rPr>
              <w:sz w:val="20"/>
              <w:szCs w:val="20"/>
            </w:rPr>
            <w:t>00</w:t>
          </w:r>
        </w:p>
      </w:tc>
    </w:tr>
    <w:tr w:rsidR="005123E8" w:rsidRPr="000A218D" w:rsidTr="005123E8">
      <w:trPr>
        <w:trHeight w:val="521"/>
      </w:trPr>
      <w:tc>
        <w:tcPr>
          <w:tcW w:w="2694" w:type="dxa"/>
          <w:vMerge/>
        </w:tcPr>
        <w:p w:rsidR="005123E8" w:rsidRPr="000A218D" w:rsidRDefault="005123E8" w:rsidP="000E5279">
          <w:pPr>
            <w:pStyle w:val="stbilgi"/>
          </w:pPr>
        </w:p>
      </w:tc>
      <w:tc>
        <w:tcPr>
          <w:tcW w:w="4417" w:type="dxa"/>
          <w:vMerge/>
        </w:tcPr>
        <w:p w:rsidR="005123E8" w:rsidRPr="000A218D" w:rsidRDefault="005123E8" w:rsidP="000E5279">
          <w:pPr>
            <w:pStyle w:val="stbilgi"/>
          </w:pPr>
        </w:p>
      </w:tc>
      <w:tc>
        <w:tcPr>
          <w:tcW w:w="1395" w:type="dxa"/>
          <w:vAlign w:val="center"/>
        </w:tcPr>
        <w:p w:rsidR="005123E8" w:rsidRPr="000A218D" w:rsidRDefault="005123E8" w:rsidP="000E5279">
          <w:pPr>
            <w:pStyle w:val="stbilgi"/>
            <w:rPr>
              <w:sz w:val="20"/>
              <w:szCs w:val="20"/>
            </w:rPr>
          </w:pPr>
          <w:proofErr w:type="spellStart"/>
          <w:proofErr w:type="gramStart"/>
          <w:r w:rsidRPr="000A218D">
            <w:rPr>
              <w:sz w:val="20"/>
              <w:szCs w:val="20"/>
            </w:rPr>
            <w:t>Rev</w:t>
          </w:r>
          <w:proofErr w:type="spellEnd"/>
          <w:r w:rsidRPr="000A218D">
            <w:rPr>
              <w:sz w:val="20"/>
              <w:szCs w:val="20"/>
            </w:rPr>
            <w:t>.Tarihi</w:t>
          </w:r>
          <w:proofErr w:type="gramEnd"/>
          <w:r w:rsidRPr="000A218D">
            <w:rPr>
              <w:sz w:val="20"/>
              <w:szCs w:val="20"/>
            </w:rPr>
            <w:t>:</w:t>
          </w:r>
        </w:p>
      </w:tc>
      <w:tc>
        <w:tcPr>
          <w:tcW w:w="1418" w:type="dxa"/>
          <w:vAlign w:val="center"/>
        </w:tcPr>
        <w:p w:rsidR="005123E8" w:rsidRPr="000A218D" w:rsidRDefault="005123E8" w:rsidP="000E5279">
          <w:pPr>
            <w:pStyle w:val="stbilgi"/>
            <w:rPr>
              <w:sz w:val="20"/>
              <w:szCs w:val="20"/>
            </w:rPr>
          </w:pPr>
          <w:r>
            <w:rPr>
              <w:sz w:val="20"/>
              <w:szCs w:val="20"/>
            </w:rPr>
            <w:t>-</w:t>
          </w:r>
        </w:p>
      </w:tc>
    </w:tr>
    <w:tr w:rsidR="005123E8" w:rsidRPr="000A218D" w:rsidTr="005123E8">
      <w:trPr>
        <w:trHeight w:val="252"/>
      </w:trPr>
      <w:tc>
        <w:tcPr>
          <w:tcW w:w="2694" w:type="dxa"/>
        </w:tcPr>
        <w:p w:rsidR="005123E8" w:rsidRPr="000A218D" w:rsidRDefault="005123E8" w:rsidP="000E5279">
          <w:pPr>
            <w:pStyle w:val="stbilgi"/>
          </w:pPr>
        </w:p>
      </w:tc>
      <w:tc>
        <w:tcPr>
          <w:tcW w:w="4417" w:type="dxa"/>
        </w:tcPr>
        <w:p w:rsidR="005123E8" w:rsidRPr="000A218D" w:rsidRDefault="005123E8" w:rsidP="000E5279">
          <w:pPr>
            <w:pStyle w:val="stbilgi"/>
          </w:pPr>
        </w:p>
      </w:tc>
      <w:tc>
        <w:tcPr>
          <w:tcW w:w="1395" w:type="dxa"/>
          <w:vAlign w:val="center"/>
        </w:tcPr>
        <w:p w:rsidR="005123E8" w:rsidRPr="000A218D" w:rsidRDefault="005123E8" w:rsidP="000E5279">
          <w:pPr>
            <w:pStyle w:val="stbilgi"/>
            <w:rPr>
              <w:sz w:val="20"/>
              <w:szCs w:val="20"/>
            </w:rPr>
          </w:pPr>
          <w:r w:rsidRPr="000A218D">
            <w:rPr>
              <w:sz w:val="20"/>
              <w:szCs w:val="20"/>
            </w:rPr>
            <w:t>Sayfa No</w:t>
          </w:r>
        </w:p>
      </w:tc>
      <w:tc>
        <w:tcPr>
          <w:tcW w:w="1418" w:type="dxa"/>
          <w:vAlign w:val="center"/>
        </w:tcPr>
        <w:p w:rsidR="005123E8" w:rsidRPr="000A218D" w:rsidRDefault="005123E8" w:rsidP="000E5279">
          <w:pPr>
            <w:pStyle w:val="stbilgi"/>
            <w:rPr>
              <w:sz w:val="20"/>
              <w:szCs w:val="20"/>
            </w:rPr>
          </w:pPr>
          <w:r w:rsidRPr="000A218D">
            <w:rPr>
              <w:rFonts w:ascii="Tahoma" w:hAnsi="Tahoma" w:cs="Tahoma"/>
              <w:bCs/>
              <w:sz w:val="20"/>
              <w:szCs w:val="20"/>
            </w:rPr>
            <w:fldChar w:fldCharType="begin"/>
          </w:r>
          <w:r w:rsidRPr="000A218D">
            <w:rPr>
              <w:rFonts w:ascii="Tahoma" w:hAnsi="Tahoma" w:cs="Tahoma"/>
              <w:bCs/>
              <w:sz w:val="20"/>
              <w:szCs w:val="20"/>
            </w:rPr>
            <w:instrText xml:space="preserve"> PAGE </w:instrText>
          </w:r>
          <w:r w:rsidRPr="000A218D">
            <w:rPr>
              <w:rFonts w:ascii="Tahoma" w:hAnsi="Tahoma" w:cs="Tahoma"/>
              <w:bCs/>
              <w:sz w:val="20"/>
              <w:szCs w:val="20"/>
            </w:rPr>
            <w:fldChar w:fldCharType="separate"/>
          </w:r>
          <w:r w:rsidR="00A02915">
            <w:rPr>
              <w:rFonts w:ascii="Tahoma" w:hAnsi="Tahoma" w:cs="Tahoma"/>
              <w:bCs/>
              <w:noProof/>
              <w:sz w:val="20"/>
              <w:szCs w:val="20"/>
            </w:rPr>
            <w:t>1</w:t>
          </w:r>
          <w:r w:rsidRPr="000A218D">
            <w:rPr>
              <w:rFonts w:ascii="Tahoma" w:hAnsi="Tahoma" w:cs="Tahoma"/>
              <w:bCs/>
              <w:sz w:val="20"/>
              <w:szCs w:val="20"/>
            </w:rPr>
            <w:fldChar w:fldCharType="end"/>
          </w:r>
          <w:r w:rsidRPr="000A218D">
            <w:rPr>
              <w:bCs/>
            </w:rPr>
            <w:t>/</w:t>
          </w:r>
          <w:r w:rsidRPr="000A218D">
            <w:rPr>
              <w:rFonts w:ascii="Tahoma" w:hAnsi="Tahoma" w:cs="Tahoma"/>
              <w:bCs/>
              <w:sz w:val="20"/>
              <w:szCs w:val="20"/>
            </w:rPr>
            <w:fldChar w:fldCharType="begin"/>
          </w:r>
          <w:r w:rsidRPr="000A218D">
            <w:rPr>
              <w:rFonts w:ascii="Tahoma" w:hAnsi="Tahoma" w:cs="Tahoma"/>
              <w:bCs/>
              <w:sz w:val="20"/>
              <w:szCs w:val="20"/>
            </w:rPr>
            <w:instrText xml:space="preserve"> NUMPAGES </w:instrText>
          </w:r>
          <w:r w:rsidRPr="000A218D">
            <w:rPr>
              <w:rFonts w:ascii="Tahoma" w:hAnsi="Tahoma" w:cs="Tahoma"/>
              <w:bCs/>
              <w:sz w:val="20"/>
              <w:szCs w:val="20"/>
            </w:rPr>
            <w:fldChar w:fldCharType="separate"/>
          </w:r>
          <w:r w:rsidR="00A02915">
            <w:rPr>
              <w:rFonts w:ascii="Tahoma" w:hAnsi="Tahoma" w:cs="Tahoma"/>
              <w:bCs/>
              <w:noProof/>
              <w:sz w:val="20"/>
              <w:szCs w:val="20"/>
            </w:rPr>
            <w:t>2</w:t>
          </w:r>
          <w:r w:rsidRPr="000A218D">
            <w:rPr>
              <w:rFonts w:ascii="Tahoma" w:hAnsi="Tahoma" w:cs="Tahoma"/>
              <w:bCs/>
              <w:sz w:val="20"/>
              <w:szCs w:val="20"/>
            </w:rPr>
            <w:fldChar w:fldCharType="end"/>
          </w:r>
        </w:p>
      </w:tc>
    </w:tr>
  </w:tbl>
  <w:p w:rsidR="005123E8" w:rsidRDefault="005123E8">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D3CEE"/>
    <w:rsid w:val="002B19B5"/>
    <w:rsid w:val="003F3AAB"/>
    <w:rsid w:val="005123E8"/>
    <w:rsid w:val="00770079"/>
    <w:rsid w:val="007E0FB8"/>
    <w:rsid w:val="00994A9D"/>
    <w:rsid w:val="00A02915"/>
    <w:rsid w:val="00A94CC6"/>
    <w:rsid w:val="00B71D8B"/>
    <w:rsid w:val="00BC0B9C"/>
    <w:rsid w:val="00DD3CEE"/>
    <w:rsid w:val="00DF1E6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A9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5123E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123E8"/>
  </w:style>
  <w:style w:type="paragraph" w:styleId="Altbilgi">
    <w:name w:val="footer"/>
    <w:basedOn w:val="Normal"/>
    <w:link w:val="AltbilgiChar"/>
    <w:uiPriority w:val="99"/>
    <w:semiHidden/>
    <w:unhideWhenUsed/>
    <w:rsid w:val="005123E8"/>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123E8"/>
  </w:style>
  <w:style w:type="paragraph" w:styleId="BalonMetni">
    <w:name w:val="Balloon Text"/>
    <w:basedOn w:val="Normal"/>
    <w:link w:val="BalonMetniChar"/>
    <w:uiPriority w:val="99"/>
    <w:semiHidden/>
    <w:unhideWhenUsed/>
    <w:rsid w:val="005123E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123E8"/>
    <w:rPr>
      <w:rFonts w:ascii="Tahoma" w:hAnsi="Tahoma" w:cs="Tahoma"/>
      <w:sz w:val="16"/>
      <w:szCs w:val="16"/>
    </w:rPr>
  </w:style>
  <w:style w:type="character" w:styleId="Kpr">
    <w:name w:val="Hyperlink"/>
    <w:basedOn w:val="VarsaylanParagrafYazTipi"/>
    <w:uiPriority w:val="99"/>
    <w:unhideWhenUsed/>
    <w:rsid w:val="00A0291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95778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oyalcert.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A0708E76-3B4A-4E9E-AC3E-6388EF3D1F7A" TargetMode="External"/><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618</Words>
  <Characters>3529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3</cp:revision>
  <dcterms:created xsi:type="dcterms:W3CDTF">2019-07-17T10:27:00Z</dcterms:created>
  <dcterms:modified xsi:type="dcterms:W3CDTF">2019-07-24T08:42:00Z</dcterms:modified>
</cp:coreProperties>
</file>